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2f842721471f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Vallox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Vallox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Von-Eichendorff-Straße 59 a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86911 Dießen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(0)8807 9466-0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(0)8807 9466-99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67e835b413974502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info@vallox.de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fe43d27726574947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https://vallox.de/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f2cc0f70e14f47c4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https://allaway.de/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airDirect 750 CC Außenluftansaugung rechts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airDIRECT 750 CC ist ein Zu- und Abluftgerät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Wärmerückgewinnung und verfügt über eine Luftleistung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bis zu 756 m3/h und ist zur kanalfreien Aufstellung im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Innenraum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konzipiert. Es ist ein kompaktes Standgerät und wird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mittels den mitgeliefertem Standfüßen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Distanzrahmen installiert. Das Gehäuse des airDIRECT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750 CC ist aus verzinktem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Stahlblech und entspricht den Anforderungen der DIN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EN 1886.Das Gerät verfügt über einen herausnehmbaren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Kreuzgegenstrom-Wärmetauscher, zwei energiesparende,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gummigelagerte und ausfahrbare EC-Ventilatoren, zwei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Filtereinschübe für die Zu- und Abluft sowie eine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korrosionsbeständige Kondensatwanne. Das Kondensat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verdunstet durch die automatische Steuerung eines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Elektroelements; auf den Kondensatanschluss kann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verzichtet werden. Der integrierte Bypass,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Bypassklappe mit Stellglied, deckt den Wärmetauscher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vollflächig ab und ermöglicht eine komfortable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Sommerfunktion. Das Gerät ist serienmäßig mit einer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Webschnittstelle ausgestattet, die verschiedene Arten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Steuerung und Regelung ermöglicht, beispielsweise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Bedienung via mobiler Endgeräte. Der serienmäßig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eingebaut CO2-Sensor sorgt für eine bedarfsgeführte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Regelung. Die eingebauten Kulissenschalldämpfer auf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Zu- und Abluftseite des Gerätes dämpfen den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Geräteschall und ermöglichen die Installation im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direkt im Raum. Die Abluft wird seitlich im oberen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Gerätebereich über ein Gitter angesaugt und die Zuluft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einen verstellbaren Lamellen-Auslass in der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Geräteoberseite zur Decke eingeblasen. Die Außen-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 werden seitlich im unteren Gerätebereich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angesaugt bzw. ausgeblasen; die Außen-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Fortluftstutzen sind mit selbsttätigen Jalousieklappen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ausgestattet.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Commercial Control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das serienmäßige Web-Interface kann das Vario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eine einfache LAN-Anbindung schnell in das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Home-Netzwerk integriert und komfortabel über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PC/Tablet oder Smartphone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bedient werden. Weiter besteht die Möglichkeit der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manuellen Bedienung durch das Touch Bedienelement CC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100 T (Zubehör). Eine Einbindung in die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Gebäudeleittechnik KNX kann durch die entsprechende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Bus-Einheit erfolgen. Es besteht die Möglichkeit, das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 via Modbus durch die Gebäudeleittechnik zu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steuern.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Temperaturabhängige Bypassklappensteuerung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Bei aktiviertem Sommerbetrieb über die Reglereinheit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wird die Wärmeruckgewinnung über eine definierte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 stufenlos umgangen und der Wärmetauscher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automatisch abgedeckt.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Frostschutzfunktion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das eingebaute Elektrovorheizregister vereist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Wärmetauscher nicht.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Sicherer und zuverlässiger Betrieb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leicht zugänglichen Reparaturschalter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geschlossene elektrische Verdrahtung. Das Gerät wird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 einem drei 3m langen Elektrokabel mit Schuko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Stecker ausgeliefert. Der elektrische Anschluss von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Bedien- und Steuerelementen sowie des Elektrokabels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erfolgt bauseits über den Elektroschaltkasten auf dem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Gerät. Die Fronttür ermöglicht den einfachen Zugang zu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allen Komponenten. Der integrierte Rauchgasdetektor 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Zuluft schaltet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Gerät bei Rauch in der Außenluft ab.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Technische Daten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Allgemein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Luftleistung bei 15 Pa extern / ErP 2018: 756 m3/h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Temperaturänderungsgrad ErP 2018: 88 %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max. Wärmerückgewinnung: 93 %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Nennleistung max. ohne Elektrovorheizregister: 271 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Stromaufnahme ohne Elektrovorheizregister: 1,5 A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Elektrovorheizregister: 900 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Betriebsspannung: 230/50 V/Hz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 Gerät/Schaltkasten: IP 50/20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Gewicht: 278 kg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Fortstutzen/Außenluftübergangsstück: 280 mm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Leistung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Volumenstrom m3/h: 150 300 550 750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Elektrische Leistung W beider Ventilatoren: 15 38 127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266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Schallleistung: 756 m3/h / 15 Pa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Frequenz Hz: 63 125 250 500 1000 2000 4000 Gesamt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Zuluft Lw, dB(A): &lt;25 &lt;25 &lt;25 &lt;25 &lt;25 &lt;25 &lt;25 &lt;25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Abluft Lw, dB(A): &lt;25 &lt;25 &lt;25 &lt;25 &lt;25 &lt;25 &lt;25 &lt;25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Außenluft Lw, dB(A): &lt;25 30 39 40 41 37 31 46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 Lw, dB(A): &lt;25 33 43 45 47 42 34 51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Schalldruckpegel in 3 m Abstand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Frequenz Hz: 63 125 250 500 1000 2000 4000 Gesamt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Lp, dB(A): &lt;25 &lt;25 &lt;25 &lt;25 &lt;25 &lt;25 &lt;25 &lt;27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3442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12256,88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12256,88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CC100T Touch Bedienelement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Touch Bedienelement für die manuelle Steuerung,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farbigem Grafik-Display, AP-Montage, B/H/T 125/84/32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2867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806,23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806,23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GV-W-R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Geräteverkleidung für das airDIRECT 750 CC rechts,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weiß lackiert RAL 9001, bestehend aus drei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Seitenwänden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3444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817,13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817,13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KV-W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Kanalverkleidungen für die Kanalabdeckung KAD-V, weiß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 RAL 9001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3449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272,38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272,38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1.5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VSK 280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Verbindungsset-Kanal DN 280 für die Verbindung von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airDIRECT 750 CC zum Kombinations-Wetterschutzgitter,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hochflexiblem AluminiumSchlauch,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einer MineralwollAußendämmung 50 mm stark und einer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darüber liegenden Alukaschierung, zwei Schläuchen l=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500 mm,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Montagezubehör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3446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136,19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136,19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1.6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KAD-V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Kanalabdeckung, stabiles, freistehendes Element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 zur Abdeckung des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Kanal-Verbindungssets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VSK 280, bei der Verwendung des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Kombinationswetterschutzgitter in vertikaler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Ausführung, Länge = 500mm.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3448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490,28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490,28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1.7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WSG-AF-V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ohne Oberflächenbehandlung, vertikale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 zwei verzinkten Rohren l=1000 mm und 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3450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1.8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WSG-AF-V-S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schwarz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 RAL 9005, vertikale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zwei verzinkten Rohren l=1000 mm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3451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1.9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WSG-AF-H-R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 ohne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Oberflächenbehandlung, horizontale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Aussenluftansaugung rechts einschließlich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Leitungsdurchführungsset DN 280, bestehend aus zwei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verzinkten Rohren l=1000 mm und 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3452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1.10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WSG-AF-H-R-S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schwarz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lackierte RAL 9005, horizontale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Aussenluftansaugung rechts einschließlich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zwei verzinkten Rohren l=1000 mm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3453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96545a542eeb4350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f830ce2cda254bad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14.12.2021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vallox.de" TargetMode="External" Id="R67e835b413974502" /><Relationship Type="http://schemas.openxmlformats.org/officeDocument/2006/relationships/hyperlink" Target="https://vallox.de/" TargetMode="External" Id="Rfe43d27726574947" /><Relationship Type="http://schemas.openxmlformats.org/officeDocument/2006/relationships/hyperlink" Target="https://allaway.de/" TargetMode="External" Id="Rf2cc0f70e14f47c4" /><Relationship Type="http://schemas.openxmlformats.org/officeDocument/2006/relationships/header" Target="/word/header.xml" Id="R96545a542eeb4350" /><Relationship Type="http://schemas.openxmlformats.org/officeDocument/2006/relationships/styles" Target="/word/styles.xml" Id="R0cfbf610f5d444a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s://www.ausschreiben.de" TargetMode="External" Id="Rf830ce2cda254bad" /></Relationships>
</file>